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14.png" ContentType="image/png"/>
  <Override PartName="/word/media/rId86.png" ContentType="image/png"/>
  <Override PartName="/word/media/rId90.png" ContentType="image/png"/>
  <Override PartName="/word/media/rId18.png" ContentType="image/png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№5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получение навыков проведения интерактивных экспериментов в среде Mininet по исследованию параметров сети,</w:t>
      </w:r>
      <w:r>
        <w:t xml:space="preserve"> </w:t>
      </w:r>
      <w:r>
        <w:t xml:space="preserve">связанных с потерей, дублированием, изменением порядка и повреждением</w:t>
      </w:r>
      <w:r>
        <w:t xml:space="preserve"> </w:t>
      </w:r>
      <w:r>
        <w:t xml:space="preserve">пакетов при передаче данных. Эти параметры влияют на производительность</w:t>
      </w:r>
      <w:r>
        <w:t xml:space="preserve"> </w:t>
      </w:r>
      <w:r>
        <w:t xml:space="preserve">протоколов и сетей.</w:t>
      </w:r>
    </w:p>
    <w:bookmarkEnd w:id="9"/>
    <w:bookmarkStart w:id="9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Подключаемся к виртуалке, предварительно её включив (рис. 1).</w:t>
      </w:r>
    </w:p>
    <w:bookmarkStart w:id="13" w:name="fig:001"/>
    <w:p>
      <w:pPr>
        <w:pStyle w:val="CaptionedFigure"/>
      </w:pPr>
      <w:r>
        <w:drawing>
          <wp:inline>
            <wp:extent cx="3733800" cy="2128503"/>
            <wp:effectExtent b="0" l="0" r="0" t="0"/>
            <wp:docPr descr="Рис. 1: по ssh" title="" id="11" name="Picture"/>
            <a:graphic>
              <a:graphicData uri="http://schemas.openxmlformats.org/drawingml/2006/picture">
                <pic:pic>
                  <pic:nvPicPr>
                    <pic:cNvPr descr="image/1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8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 ssh</w:t>
      </w:r>
    </w:p>
    <w:bookmarkEnd w:id="13"/>
    <w:p>
      <w:pPr>
        <w:pStyle w:val="BodyText"/>
      </w:pPr>
      <w:r>
        <w:t xml:space="preserve">Проверяем соединение (рис. 2).</w:t>
      </w:r>
    </w:p>
    <w:bookmarkStart w:id="17" w:name="fig:002"/>
    <w:p>
      <w:pPr>
        <w:pStyle w:val="CaptionedFigure"/>
      </w:pPr>
      <w:r>
        <w:drawing>
          <wp:inline>
            <wp:extent cx="3733800" cy="1082359"/>
            <wp:effectExtent b="0" l="0" r="0" t="0"/>
            <wp:docPr descr="Рис. 2: пингуем и смотрим айпишники" title="" id="15" name="Picture"/>
            <a:graphic>
              <a:graphicData uri="http://schemas.openxmlformats.org/drawingml/2006/picture">
                <pic:pic>
                  <pic:nvPicPr>
                    <pic:cNvPr descr="image/2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2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пингуем и смотрим айпишники</w:t>
      </w:r>
    </w:p>
    <w:bookmarkEnd w:id="17"/>
    <w:p>
      <w:pPr>
        <w:pStyle w:val="BodyText"/>
      </w:pPr>
      <w:r>
        <w:t xml:space="preserve">Пингуем с потерями (рис. 3).</w:t>
      </w:r>
    </w:p>
    <w:bookmarkStart w:id="21" w:name="fig:003"/>
    <w:p>
      <w:pPr>
        <w:pStyle w:val="CaptionedFigure"/>
      </w:pPr>
      <w:r>
        <w:drawing>
          <wp:inline>
            <wp:extent cx="3733800" cy="2178620"/>
            <wp:effectExtent b="0" l="0" r="0" t="0"/>
            <wp:docPr descr="Рис. 3: loss 10%" title="" id="19" name="Picture"/>
            <a:graphic>
              <a:graphicData uri="http://schemas.openxmlformats.org/drawingml/2006/picture">
                <pic:pic>
                  <pic:nvPicPr>
                    <pic:cNvPr descr="image/3.pn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loss 10%</w:t>
      </w:r>
    </w:p>
    <w:bookmarkEnd w:id="21"/>
    <w:p>
      <w:pPr>
        <w:pStyle w:val="BodyText"/>
      </w:pPr>
      <w:r>
        <w:t xml:space="preserve">Наблюдаем те самые потери (рис. 4).</w:t>
      </w:r>
    </w:p>
    <w:bookmarkStart w:id="25" w:name="fig:004"/>
    <w:p>
      <w:pPr>
        <w:pStyle w:val="CaptionedFigure"/>
      </w:pPr>
      <w:r>
        <w:drawing>
          <wp:inline>
            <wp:extent cx="3733800" cy="2178620"/>
            <wp:effectExtent b="0" l="0" r="0" t="0"/>
            <wp:docPr descr="Рис. 4: 7%" title="" id="23" name="Picture"/>
            <a:graphic>
              <a:graphicData uri="http://schemas.openxmlformats.org/drawingml/2006/picture">
                <pic:pic>
                  <pic:nvPicPr>
                    <pic:cNvPr descr="image/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7%</w:t>
      </w:r>
    </w:p>
    <w:bookmarkEnd w:id="25"/>
    <w:p>
      <w:pPr>
        <w:pStyle w:val="BodyText"/>
      </w:pPr>
      <w:r>
        <w:t xml:space="preserve">Добавим так же потери на стороне получателя пинга (рис. 5).</w:t>
      </w:r>
    </w:p>
    <w:bookmarkStart w:id="29" w:name="fig:005"/>
    <w:p>
      <w:pPr>
        <w:pStyle w:val="CaptionedFigure"/>
      </w:pPr>
      <w:r>
        <w:drawing>
          <wp:inline>
            <wp:extent cx="3733800" cy="1086320"/>
            <wp:effectExtent b="0" l="0" r="0" t="0"/>
            <wp:docPr descr="Рис. 5: видим потери по sequence number" title="" id="27" name="Picture"/>
            <a:graphic>
              <a:graphicData uri="http://schemas.openxmlformats.org/drawingml/2006/picture">
                <pic:pic>
                  <pic:nvPicPr>
                    <pic:cNvPr descr="image/5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6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видим потери по sequence number</w:t>
      </w:r>
    </w:p>
    <w:bookmarkEnd w:id="29"/>
    <w:p>
      <w:pPr>
        <w:pStyle w:val="BodyText"/>
      </w:pPr>
      <w:r>
        <w:t xml:space="preserve">Наблюдаем потери (рис. 6).</w:t>
      </w:r>
    </w:p>
    <w:bookmarkStart w:id="33" w:name="fig:006"/>
    <w:p>
      <w:pPr>
        <w:pStyle w:val="CaptionedFigure"/>
      </w:pPr>
      <w:r>
        <w:drawing>
          <wp:inline>
            <wp:extent cx="3733800" cy="2166694"/>
            <wp:effectExtent b="0" l="0" r="0" t="0"/>
            <wp:docPr descr="Рис. 6: 19%" title="" id="31" name="Picture"/>
            <a:graphic>
              <a:graphicData uri="http://schemas.openxmlformats.org/drawingml/2006/picture">
                <pic:pic>
                  <pic:nvPicPr>
                    <pic:cNvPr descr="image/6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6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19%</w:t>
      </w:r>
    </w:p>
    <w:bookmarkEnd w:id="33"/>
    <w:p>
      <w:pPr>
        <w:pStyle w:val="BodyText"/>
      </w:pPr>
      <w:r>
        <w:t xml:space="preserve">Убираем задержки (рис. 7).</w:t>
      </w:r>
    </w:p>
    <w:bookmarkStart w:id="37" w:name="fig:007"/>
    <w:p>
      <w:pPr>
        <w:pStyle w:val="CaptionedFigure"/>
      </w:pPr>
      <w:r>
        <w:drawing>
          <wp:inline>
            <wp:extent cx="3733800" cy="1085327"/>
            <wp:effectExtent b="0" l="0" r="0" t="0"/>
            <wp:docPr descr="Рис. 7: больше нет потерь!" title="" id="35" name="Picture"/>
            <a:graphic>
              <a:graphicData uri="http://schemas.openxmlformats.org/drawingml/2006/picture">
                <pic:pic>
                  <pic:nvPicPr>
                    <pic:cNvPr descr="image/7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5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больше нет потерь!</w:t>
      </w:r>
    </w:p>
    <w:bookmarkEnd w:id="37"/>
    <w:p>
      <w:pPr>
        <w:pStyle w:val="BodyText"/>
      </w:pPr>
      <w:r>
        <w:t xml:space="preserve">Добавляем зависимость пакета на 50% от предыдущего (рис. 8).</w:t>
      </w:r>
    </w:p>
    <w:bookmarkStart w:id="41" w:name="fig:008"/>
    <w:p>
      <w:pPr>
        <w:pStyle w:val="CaptionedFigure"/>
      </w:pPr>
      <w:r>
        <w:drawing>
          <wp:inline>
            <wp:extent cx="3733800" cy="2166694"/>
            <wp:effectExtent b="0" l="0" r="0" t="0"/>
            <wp:docPr descr="Рис. 8: второй аргумент после процента потерь" title="" id="39" name="Picture"/>
            <a:graphic>
              <a:graphicData uri="http://schemas.openxmlformats.org/drawingml/2006/picture">
                <pic:pic>
                  <pic:nvPicPr>
                    <pic:cNvPr descr="image/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6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второй аргумент после процента потерь</w:t>
      </w:r>
    </w:p>
    <w:bookmarkEnd w:id="41"/>
    <w:p>
      <w:pPr>
        <w:pStyle w:val="BodyText"/>
      </w:pPr>
      <w:r>
        <w:t xml:space="preserve">Итоги - 68% потерь! Ужас! (рис. 9).</w:t>
      </w:r>
    </w:p>
    <w:bookmarkStart w:id="45" w:name="fig:009"/>
    <w:p>
      <w:pPr>
        <w:pStyle w:val="CaptionedFigure"/>
      </w:pPr>
      <w:r>
        <w:drawing>
          <wp:inline>
            <wp:extent cx="3733800" cy="1887340"/>
            <wp:effectExtent b="0" l="0" r="0" t="0"/>
            <wp:docPr descr="Рис. 9: 68%" title="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7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68%</w:t>
      </w:r>
    </w:p>
    <w:bookmarkEnd w:id="45"/>
    <w:p>
      <w:pPr>
        <w:pStyle w:val="BodyText"/>
      </w:pPr>
      <w:r>
        <w:t xml:space="preserve">Для проверки повреждения - поднимаем iPerf (рис. 10).</w:t>
      </w:r>
    </w:p>
    <w:bookmarkStart w:id="49" w:name="fig:010"/>
    <w:p>
      <w:pPr>
        <w:pStyle w:val="CaptionedFigure"/>
      </w:pPr>
      <w:r>
        <w:drawing>
          <wp:inline>
            <wp:extent cx="3733800" cy="1078044"/>
            <wp:effectExtent b="0" l="0" r="0" t="0"/>
            <wp:docPr descr="Рис. 10: смотрим на количество ретраев" title="" id="47" name="Picture"/>
            <a:graphic>
              <a:graphicData uri="http://schemas.openxmlformats.org/drawingml/2006/picture">
                <pic:pic>
                  <pic:nvPicPr>
                    <pic:cNvPr descr="image/1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смотрим на количество ретраев</w:t>
      </w:r>
    </w:p>
    <w:bookmarkEnd w:id="49"/>
    <w:p>
      <w:pPr>
        <w:pStyle w:val="BodyText"/>
      </w:pPr>
      <w:r>
        <w:t xml:space="preserve">Убираем повреждения и наблюдаем 0 ретраев (рис. 11).</w:t>
      </w:r>
    </w:p>
    <w:bookmarkStart w:id="53" w:name="fig:011"/>
    <w:p>
      <w:pPr>
        <w:pStyle w:val="CaptionedFigure"/>
      </w:pPr>
      <w:r>
        <w:drawing>
          <wp:inline>
            <wp:extent cx="3733800" cy="1078044"/>
            <wp:effectExtent b="0" l="0" r="0" t="0"/>
            <wp:docPr descr="Рис. 11: смотрим на количество ретраев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смотрим на количество ретраев</w:t>
      </w:r>
    </w:p>
    <w:bookmarkEnd w:id="53"/>
    <w:p>
      <w:pPr>
        <w:pStyle w:val="BodyText"/>
      </w:pPr>
      <w:r>
        <w:t xml:space="preserve">Добавляем переупорядочивание пакетов (рис. 12).</w:t>
      </w:r>
    </w:p>
    <w:bookmarkStart w:id="57" w:name="fig:012"/>
    <w:p>
      <w:pPr>
        <w:pStyle w:val="CaptionedFigure"/>
      </w:pPr>
      <w:r>
        <w:drawing>
          <wp:inline>
            <wp:extent cx="3733800" cy="2138449"/>
            <wp:effectExtent b="0" l="0" r="0" t="0"/>
            <wp:docPr descr="Рис. 12: нарушаем sequence number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8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нарушаем sequence number</w:t>
      </w:r>
    </w:p>
    <w:bookmarkEnd w:id="57"/>
    <w:p>
      <w:pPr>
        <w:pStyle w:val="BodyText"/>
      </w:pPr>
      <w:r>
        <w:t xml:space="preserve">Обновим правила, добавив дублирование (рис. 13).</w:t>
      </w:r>
    </w:p>
    <w:bookmarkStart w:id="61" w:name="fig:013"/>
    <w:p>
      <w:pPr>
        <w:pStyle w:val="CaptionedFigure"/>
      </w:pPr>
      <w:r>
        <w:drawing>
          <wp:inline>
            <wp:extent cx="3733800" cy="2138449"/>
            <wp:effectExtent b="0" l="0" r="0" t="0"/>
            <wp:docPr descr="Рис. 13: сразу в пинге видим DUP!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8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сразу в пинге видим DUP!</w:t>
      </w:r>
    </w:p>
    <w:bookmarkEnd w:id="61"/>
    <w:p>
      <w:pPr>
        <w:pStyle w:val="BodyText"/>
      </w:pPr>
      <w:r>
        <w:t xml:space="preserve">Создаем директорию для воспроизводимого эксперимента (рис. 14).</w:t>
      </w:r>
    </w:p>
    <w:bookmarkStart w:id="65" w:name="fig:014"/>
    <w:p>
      <w:pPr>
        <w:pStyle w:val="CaptionedFigure"/>
      </w:pPr>
      <w:r>
        <w:drawing>
          <wp:inline>
            <wp:extent cx="3733800" cy="2067700"/>
            <wp:effectExtent b="0" l="0" r="0" t="0"/>
            <wp:docPr descr="Рис. 14: для простых потерь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для простых потерь</w:t>
      </w:r>
    </w:p>
    <w:bookmarkEnd w:id="65"/>
    <w:p>
      <w:pPr>
        <w:pStyle w:val="BodyText"/>
      </w:pPr>
      <w:r>
        <w:t xml:space="preserve">Результаты запуска (рис. 15).</w:t>
      </w:r>
    </w:p>
    <w:bookmarkStart w:id="69" w:name="fig:015"/>
    <w:p>
      <w:pPr>
        <w:pStyle w:val="CaptionedFigure"/>
      </w:pPr>
      <w:r>
        <w:drawing>
          <wp:inline>
            <wp:extent cx="3733800" cy="2067700"/>
            <wp:effectExtent b="0" l="0" r="0" t="0"/>
            <wp:docPr descr="Рис. 15: Пропущены некоторые запросы (вторая колонка)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Пропущены некоторые запросы (вторая колонка)</w:t>
      </w:r>
    </w:p>
    <w:bookmarkEnd w:id="69"/>
    <w:p>
      <w:pPr>
        <w:pStyle w:val="BodyText"/>
      </w:pPr>
      <w:r>
        <w:t xml:space="preserve">Подготовим инфраструктуру для остальных экспериментов (рис. 16).</w:t>
      </w:r>
    </w:p>
    <w:bookmarkStart w:id="73" w:name="fig:016"/>
    <w:p>
      <w:pPr>
        <w:pStyle w:val="CaptionedFigure"/>
      </w:pPr>
      <w:r>
        <w:drawing>
          <wp:inline>
            <wp:extent cx="3733800" cy="2076144"/>
            <wp:effectExtent b="0" l="0" r="0" t="0"/>
            <wp:docPr descr="Рис. 16: скопируем первый эксперимент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скопируем первый эксперимент</w:t>
      </w:r>
    </w:p>
    <w:bookmarkEnd w:id="73"/>
    <w:p>
      <w:pPr>
        <w:pStyle w:val="BodyText"/>
      </w:pPr>
      <w:r>
        <w:t xml:space="preserve">Правим код, добавляя корреляцию (рис. 17).</w:t>
      </w:r>
    </w:p>
    <w:bookmarkStart w:id="77" w:name="fig:017"/>
    <w:p>
      <w:pPr>
        <w:pStyle w:val="CaptionedFigure"/>
      </w:pPr>
      <w:r>
        <w:drawing>
          <wp:inline>
            <wp:extent cx="3733800" cy="2076144"/>
            <wp:effectExtent b="0" l="0" r="0" t="0"/>
            <wp:docPr descr="Рис. 17: 50%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50%</w:t>
      </w:r>
    </w:p>
    <w:bookmarkEnd w:id="77"/>
    <w:p>
      <w:pPr>
        <w:pStyle w:val="BodyText"/>
      </w:pPr>
      <w:r>
        <w:t xml:space="preserve">Наблюдаем результаты (рис. 18).</w:t>
      </w:r>
    </w:p>
    <w:bookmarkStart w:id="81" w:name="fig:018"/>
    <w:p>
      <w:pPr>
        <w:pStyle w:val="CaptionedFigure"/>
      </w:pPr>
      <w:r>
        <w:drawing>
          <wp:inline>
            <wp:extent cx="3733800" cy="2489200"/>
            <wp:effectExtent b="0" l="0" r="0" t="0"/>
            <wp:docPr descr="Рис. 18: смотрим так же вторую колонку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смотрим так же вторую колонку</w:t>
      </w:r>
    </w:p>
    <w:bookmarkEnd w:id="81"/>
    <w:p>
      <w:pPr>
        <w:pStyle w:val="BodyText"/>
      </w:pPr>
      <w:r>
        <w:t xml:space="preserve">Чтобы проверить повреждения пакетов добавляем в логику кода - iperf (рис. 19).</w:t>
      </w:r>
    </w:p>
    <w:bookmarkStart w:id="85" w:name="fig:019"/>
    <w:p>
      <w:pPr>
        <w:pStyle w:val="CaptionedFigure"/>
      </w:pPr>
      <w:r>
        <w:drawing>
          <wp:inline>
            <wp:extent cx="3733800" cy="3280721"/>
            <wp:effectExtent b="0" l="0" r="0" t="0"/>
            <wp:docPr descr="Рис. 19: результаты кидаем в то же место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0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результаты кидаем в то же место</w:t>
      </w:r>
    </w:p>
    <w:bookmarkEnd w:id="85"/>
    <w:p>
      <w:pPr>
        <w:pStyle w:val="BodyText"/>
      </w:pPr>
      <w:r>
        <w:t xml:space="preserve">Делаем код для переупорядочивания (рис. 20).</w:t>
      </w:r>
    </w:p>
    <w:bookmarkStart w:id="89" w:name="fig:020"/>
    <w:p>
      <w:pPr>
        <w:pStyle w:val="CaptionedFigure"/>
      </w:pPr>
      <w:r>
        <w:drawing>
          <wp:inline>
            <wp:extent cx="3733800" cy="3280721"/>
            <wp:effectExtent b="0" l="0" r="0" t="0"/>
            <wp:docPr descr="Рис. 20: сложновато" title="" id="87" name="Picture"/>
            <a:graphic>
              <a:graphicData uri="http://schemas.openxmlformats.org/drawingml/2006/picture">
                <pic:pic>
                  <pic:nvPicPr>
                    <pic:cNvPr descr="image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0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сложновато</w:t>
      </w:r>
    </w:p>
    <w:bookmarkEnd w:id="89"/>
    <w:p>
      <w:pPr>
        <w:pStyle w:val="BodyText"/>
      </w:pPr>
      <w:r>
        <w:t xml:space="preserve">Наблюдаем результат (рис. 21).</w:t>
      </w:r>
    </w:p>
    <w:bookmarkStart w:id="93" w:name="fig:021"/>
    <w:p>
      <w:pPr>
        <w:pStyle w:val="CaptionedFigure"/>
      </w:pPr>
      <w:r>
        <w:drawing>
          <wp:inline>
            <wp:extent cx="3733800" cy="3280721"/>
            <wp:effectExtent b="0" l="0" r="0" t="0"/>
            <wp:docPr descr="Рис. 21: ура" title="" id="91" name="Picture"/>
            <a:graphic>
              <a:graphicData uri="http://schemas.openxmlformats.org/drawingml/2006/picture">
                <pic:pic>
                  <pic:nvPicPr>
                    <pic:cNvPr descr="image/2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80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ура</w:t>
      </w:r>
    </w:p>
    <w:bookmarkEnd w:id="93"/>
    <w:bookmarkEnd w:id="94"/>
    <w:bookmarkStart w:id="95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рамках выполнения лабораторной работы получили навыки проведения интерактивных экспериментов в среде Mininet по исследованию параметров сети,</w:t>
      </w:r>
      <w:r>
        <w:t xml:space="preserve"> </w:t>
      </w:r>
      <w:r>
        <w:t xml:space="preserve">связанных с потерей, дублированием, изменением порядка и повреждением</w:t>
      </w:r>
      <w:r>
        <w:t xml:space="preserve"> </w:t>
      </w:r>
      <w:r>
        <w:t xml:space="preserve">пакетов при передаче данных. Эти параметры влияют на производительность</w:t>
      </w:r>
      <w:r>
        <w:t xml:space="preserve"> </w:t>
      </w:r>
      <w:r>
        <w:t xml:space="preserve">протоколов и сетей.</w:t>
      </w:r>
    </w:p>
    <w:bookmarkEnd w:id="95"/>
    <w:bookmarkStart w:id="97" w:name="список-литературы"/>
    <w:p>
      <w:pPr>
        <w:pStyle w:val="Heading1"/>
      </w:pPr>
      <w:r>
        <w:t xml:space="preserve">Список литературы</w:t>
      </w:r>
    </w:p>
    <w:bookmarkStart w:id="96" w:name="refs"/>
    <w:bookmarkEnd w:id="96"/>
    <w:bookmarkEnd w:id="9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14" Target="media/rId14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18" Target="media/rId18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Чесноков Артемий Павлович</dc:creator>
  <dc:language>ru-RU</dc:language>
  <cp:keywords/>
  <dcterms:created xsi:type="dcterms:W3CDTF">2025-11-08T15:37:28Z</dcterms:created>
  <dcterms:modified xsi:type="dcterms:W3CDTF">2025-11-08T15:37:28Z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